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83F55E">
      <w:pPr>
        <w:pStyle w:val="5"/>
        <w:shd w:val="clear" w:color="auto" w:fill="FFFFFF"/>
        <w:spacing w:before="156" w:beforeLines="50" w:beforeAutospacing="0" w:after="156" w:afterLines="50" w:afterAutospacing="0" w:line="338" w:lineRule="atLeast"/>
        <w:rPr>
          <w:rStyle w:val="8"/>
          <w:rFonts w:ascii="黑体" w:hAnsi="黑体" w:eastAsia="黑体"/>
          <w:b w:val="0"/>
          <w:bCs w:val="0"/>
          <w:color w:val="333333"/>
        </w:rPr>
      </w:pPr>
      <w:r>
        <w:rPr>
          <w:rStyle w:val="8"/>
          <w:rFonts w:hint="eastAsia" w:ascii="黑体" w:hAnsi="黑体" w:eastAsia="黑体"/>
          <w:b w:val="0"/>
          <w:bCs w:val="0"/>
          <w:color w:val="333333"/>
          <w:sz w:val="28"/>
          <w:szCs w:val="28"/>
        </w:rPr>
        <w:t>附件</w:t>
      </w:r>
    </w:p>
    <w:p w14:paraId="7F29B8B9">
      <w:pPr>
        <w:pStyle w:val="5"/>
        <w:shd w:val="clear" w:color="auto" w:fill="FFFFFF"/>
        <w:spacing w:before="156" w:beforeLines="50" w:beforeAutospacing="0" w:after="156" w:afterLines="50" w:afterAutospacing="0" w:line="338" w:lineRule="atLeast"/>
        <w:jc w:val="center"/>
        <w:rPr>
          <w:rStyle w:val="8"/>
          <w:rFonts w:hint="eastAsia" w:ascii="黑体" w:hAnsi="黑体" w:eastAsia="黑体"/>
          <w:b w:val="0"/>
          <w:bCs w:val="0"/>
          <w:color w:val="333333"/>
          <w:sz w:val="36"/>
          <w:szCs w:val="36"/>
        </w:rPr>
      </w:pPr>
      <w:r>
        <w:rPr>
          <w:rStyle w:val="8"/>
          <w:rFonts w:hint="eastAsia" w:ascii="黑体" w:hAnsi="黑体" w:eastAsia="黑体"/>
          <w:b w:val="0"/>
          <w:bCs w:val="0"/>
          <w:color w:val="333333"/>
          <w:sz w:val="36"/>
          <w:szCs w:val="36"/>
          <w:lang w:val="en-US" w:eastAsia="zh-CN"/>
        </w:rPr>
        <w:t>2026-2027学年数学系</w:t>
      </w:r>
      <w:r>
        <w:rPr>
          <w:rStyle w:val="8"/>
          <w:rFonts w:hint="eastAsia" w:ascii="黑体" w:hAnsi="黑体" w:eastAsia="黑体"/>
          <w:b w:val="0"/>
          <w:bCs w:val="0"/>
          <w:color w:val="333333"/>
          <w:sz w:val="36"/>
          <w:szCs w:val="36"/>
        </w:rPr>
        <w:t>研究生助研奖励津贴</w:t>
      </w:r>
    </w:p>
    <w:p w14:paraId="27A3F4CB">
      <w:pPr>
        <w:pStyle w:val="5"/>
        <w:shd w:val="clear" w:color="auto" w:fill="FFFFFF"/>
        <w:spacing w:before="156" w:beforeLines="50" w:beforeAutospacing="0" w:after="156" w:afterLines="50" w:afterAutospacing="0" w:line="338" w:lineRule="atLeast"/>
        <w:jc w:val="center"/>
        <w:rPr>
          <w:rStyle w:val="8"/>
          <w:rFonts w:hint="eastAsia" w:ascii="黑体" w:hAnsi="黑体" w:eastAsia="黑体"/>
          <w:b w:val="0"/>
          <w:bCs w:val="0"/>
          <w:color w:val="333333"/>
          <w:sz w:val="36"/>
          <w:szCs w:val="36"/>
        </w:rPr>
      </w:pPr>
      <w:r>
        <w:rPr>
          <w:rStyle w:val="8"/>
          <w:rFonts w:hint="eastAsia" w:ascii="黑体" w:hAnsi="黑体" w:eastAsia="黑体"/>
          <w:b w:val="0"/>
          <w:bCs w:val="0"/>
          <w:color w:val="333333"/>
          <w:sz w:val="36"/>
          <w:szCs w:val="36"/>
        </w:rPr>
        <w:t>等级评定细则</w:t>
      </w:r>
    </w:p>
    <w:p w14:paraId="1CA27E2B">
      <w:pPr>
        <w:pStyle w:val="5"/>
        <w:shd w:val="clear" w:color="auto" w:fill="FFFFFF"/>
        <w:spacing w:before="0" w:beforeAutospacing="0" w:after="0" w:afterAutospacing="0"/>
        <w:rPr>
          <w:rFonts w:hint="eastAsia" w:ascii="仿宋" w:hAnsi="仿宋" w:eastAsia="仿宋"/>
          <w:color w:val="333333"/>
          <w:sz w:val="28"/>
          <w:szCs w:val="28"/>
          <w:lang w:eastAsia="zh-CN"/>
        </w:rPr>
      </w:pPr>
      <w:r>
        <w:rPr>
          <w:rStyle w:val="8"/>
          <w:rFonts w:hint="eastAsia" w:ascii="仿宋" w:hAnsi="仿宋" w:eastAsia="仿宋"/>
          <w:color w:val="333333"/>
          <w:sz w:val="28"/>
          <w:szCs w:val="28"/>
        </w:rPr>
        <w:t>一、</w:t>
      </w:r>
      <w:r>
        <w:rPr>
          <w:rStyle w:val="8"/>
          <w:rFonts w:hint="eastAsia" w:ascii="仿宋" w:hAnsi="仿宋" w:eastAsia="仿宋"/>
          <w:color w:val="333333"/>
          <w:sz w:val="28"/>
          <w:szCs w:val="28"/>
          <w:lang w:eastAsia="zh-CN"/>
        </w:rPr>
        <w:t>研究生奖助金评审委员会</w:t>
      </w:r>
    </w:p>
    <w:p w14:paraId="20CF0865">
      <w:pPr>
        <w:pStyle w:val="5"/>
        <w:shd w:val="clear" w:color="auto" w:fill="FFFFFF"/>
        <w:spacing w:before="0" w:beforeAutospacing="0" w:after="0" w:afterAutospacing="0"/>
        <w:ind w:firstLine="480"/>
        <w:rPr>
          <w:rFonts w:hint="eastAsia" w:ascii="仿宋" w:hAnsi="仿宋" w:eastAsia="仿宋"/>
          <w:color w:val="333333"/>
          <w:sz w:val="28"/>
          <w:szCs w:val="28"/>
          <w:lang w:eastAsia="zh-CN"/>
        </w:rPr>
      </w:pPr>
      <w:r>
        <w:rPr>
          <w:rFonts w:hint="eastAsia" w:ascii="仿宋" w:hAnsi="仿宋" w:eastAsia="仿宋"/>
          <w:color w:val="333333"/>
          <w:sz w:val="28"/>
          <w:szCs w:val="28"/>
          <w:lang w:val="en-US" w:eastAsia="zh-CN"/>
        </w:rPr>
        <w:t>数学系</w:t>
      </w:r>
      <w:r>
        <w:rPr>
          <w:rFonts w:hint="eastAsia" w:ascii="仿宋" w:hAnsi="仿宋" w:eastAsia="仿宋"/>
          <w:color w:val="333333"/>
          <w:sz w:val="28"/>
          <w:szCs w:val="28"/>
        </w:rPr>
        <w:t>成</w:t>
      </w:r>
      <w:r>
        <w:rPr>
          <w:rFonts w:hint="eastAsia" w:ascii="仿宋" w:hAnsi="仿宋" w:eastAsia="仿宋"/>
          <w:color w:val="333333"/>
          <w:sz w:val="28"/>
          <w:szCs w:val="28"/>
          <w:lang w:eastAsia="zh-CN"/>
        </w:rPr>
        <w:t>立研究生奖助金评审委员会</w:t>
      </w:r>
      <w:r>
        <w:rPr>
          <w:rFonts w:hint="eastAsia" w:ascii="仿宋" w:hAnsi="仿宋" w:eastAsia="仿宋"/>
          <w:color w:val="333333"/>
          <w:sz w:val="28"/>
          <w:szCs w:val="28"/>
        </w:rPr>
        <w:t>，制定研究生助研奖励津贴等级评定细则，管理研究生助研奖励津贴等级评定过程，委员会成员名单</w:t>
      </w:r>
      <w:r>
        <w:rPr>
          <w:rFonts w:hint="eastAsia" w:ascii="仿宋" w:hAnsi="仿宋" w:eastAsia="仿宋"/>
          <w:color w:val="333333"/>
          <w:sz w:val="28"/>
          <w:szCs w:val="28"/>
          <w:lang w:val="en-US" w:eastAsia="zh-CN"/>
        </w:rPr>
        <w:t>如下：</w:t>
      </w:r>
    </w:p>
    <w:p w14:paraId="34B8C9FA">
      <w:pPr>
        <w:pStyle w:val="5"/>
        <w:shd w:val="clear" w:color="auto" w:fill="FFFFFF"/>
        <w:spacing w:before="0" w:beforeAutospacing="0" w:after="0" w:afterAutospacing="0"/>
        <w:ind w:firstLine="480"/>
        <w:rPr>
          <w:rFonts w:hint="eastAsia" w:ascii="仿宋" w:hAnsi="仿宋" w:eastAsia="仿宋"/>
          <w:b/>
          <w:bCs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color w:val="333333"/>
          <w:sz w:val="28"/>
          <w:szCs w:val="28"/>
          <w:lang w:val="en-US" w:eastAsia="zh-CN"/>
        </w:rPr>
        <w:t>主任委员：向青</w:t>
      </w:r>
    </w:p>
    <w:p w14:paraId="1D0CDA5F">
      <w:pPr>
        <w:pStyle w:val="5"/>
        <w:shd w:val="clear" w:color="auto" w:fill="FFFFFF"/>
        <w:spacing w:before="0" w:beforeAutospacing="0" w:after="0" w:afterAutospacing="0"/>
        <w:ind w:firstLine="480"/>
        <w:rPr>
          <w:rFonts w:hint="eastAsia" w:ascii="仿宋" w:hAnsi="仿宋" w:eastAsia="仿宋"/>
          <w:b/>
          <w:bCs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color w:val="333333"/>
          <w:sz w:val="28"/>
          <w:szCs w:val="28"/>
          <w:lang w:val="en-US" w:eastAsia="zh-CN"/>
        </w:rPr>
        <w:t>委员：张振、李才恒、熊捷、杨将、刘博辰、胡勇、曾萍萍、邬龙挺、行政管理人员、研究生代表</w:t>
      </w:r>
    </w:p>
    <w:p w14:paraId="48ACDD2C">
      <w:pPr>
        <w:pStyle w:val="5"/>
        <w:shd w:val="clear" w:color="auto" w:fill="FFFFFF"/>
        <w:spacing w:before="0" w:beforeAutospacing="0" w:after="0" w:afterAutospacing="0"/>
        <w:ind w:firstLine="480"/>
        <w:rPr>
          <w:rFonts w:hint="eastAsia" w:ascii="仿宋" w:hAnsi="仿宋" w:eastAsia="仿宋"/>
          <w:color w:val="333333"/>
          <w:sz w:val="28"/>
          <w:szCs w:val="28"/>
          <w:lang w:val="en-US" w:eastAsia="zh-CN"/>
        </w:rPr>
      </w:pPr>
    </w:p>
    <w:p w14:paraId="0FEF647F">
      <w:pPr>
        <w:pStyle w:val="5"/>
        <w:shd w:val="clear" w:color="auto" w:fill="FFFFFF"/>
        <w:spacing w:before="0" w:beforeAutospacing="0" w:after="0" w:afterAutospacing="0"/>
        <w:rPr>
          <w:rFonts w:ascii="仿宋" w:hAnsi="仿宋" w:eastAsia="仿宋"/>
          <w:color w:val="333333"/>
          <w:sz w:val="28"/>
          <w:szCs w:val="28"/>
        </w:rPr>
      </w:pPr>
      <w:r>
        <w:rPr>
          <w:rStyle w:val="8"/>
          <w:rFonts w:hint="eastAsia" w:ascii="仿宋" w:hAnsi="仿宋" w:eastAsia="仿宋"/>
          <w:color w:val="333333"/>
          <w:sz w:val="28"/>
          <w:szCs w:val="28"/>
        </w:rPr>
        <w:t>二、评</w:t>
      </w:r>
      <w:r>
        <w:rPr>
          <w:rStyle w:val="8"/>
          <w:rFonts w:hint="eastAsia" w:ascii="仿宋" w:hAnsi="仿宋" w:eastAsia="仿宋"/>
          <w:color w:val="333333"/>
          <w:sz w:val="28"/>
          <w:szCs w:val="28"/>
          <w:lang w:eastAsia="zh-CN"/>
        </w:rPr>
        <w:t>定</w:t>
      </w:r>
      <w:r>
        <w:rPr>
          <w:rStyle w:val="8"/>
          <w:rFonts w:hint="eastAsia" w:ascii="仿宋" w:hAnsi="仿宋" w:eastAsia="仿宋"/>
          <w:color w:val="333333"/>
          <w:sz w:val="28"/>
          <w:szCs w:val="28"/>
        </w:rPr>
        <w:t>细则</w:t>
      </w:r>
    </w:p>
    <w:p w14:paraId="38A1A828">
      <w:pPr>
        <w:pStyle w:val="5"/>
        <w:shd w:val="clear" w:color="auto" w:fill="FFFFFF"/>
        <w:spacing w:before="0" w:beforeAutospacing="0" w:after="0" w:afterAutospacing="0"/>
        <w:ind w:firstLine="560" w:firstLineChars="200"/>
        <w:rPr>
          <w:rStyle w:val="8"/>
          <w:rFonts w:hint="eastAsia" w:ascii="仿宋" w:hAnsi="仿宋" w:eastAsia="仿宋"/>
          <w:b w:val="0"/>
          <w:bCs w:val="0"/>
          <w:color w:val="333333"/>
          <w:sz w:val="28"/>
          <w:szCs w:val="28"/>
        </w:rPr>
      </w:pPr>
      <w:r>
        <w:rPr>
          <w:rStyle w:val="8"/>
          <w:rFonts w:hint="eastAsia" w:ascii="仿宋" w:hAnsi="仿宋" w:eastAsia="仿宋"/>
          <w:b w:val="0"/>
          <w:bCs w:val="0"/>
          <w:color w:val="333333"/>
          <w:sz w:val="28"/>
          <w:szCs w:val="28"/>
        </w:rPr>
        <w:t>1、参评对象</w:t>
      </w:r>
    </w:p>
    <w:p w14:paraId="7EFED048">
      <w:pPr>
        <w:pStyle w:val="5"/>
        <w:shd w:val="clear" w:color="auto" w:fill="FFFFFF"/>
        <w:spacing w:before="0" w:beforeAutospacing="0" w:after="0" w:afterAutospacing="0"/>
        <w:ind w:firstLine="560" w:firstLineChars="200"/>
        <w:rPr>
          <w:rStyle w:val="8"/>
          <w:rFonts w:hint="eastAsia" w:ascii="仿宋" w:hAnsi="仿宋" w:eastAsia="仿宋"/>
          <w:b w:val="0"/>
          <w:bCs w:val="0"/>
          <w:color w:val="333333"/>
          <w:sz w:val="28"/>
          <w:szCs w:val="28"/>
        </w:rPr>
      </w:pPr>
      <w:r>
        <w:rPr>
          <w:rStyle w:val="8"/>
          <w:rFonts w:hint="eastAsia" w:ascii="仿宋" w:hAnsi="仿宋" w:eastAsia="仿宋"/>
          <w:b w:val="0"/>
          <w:bCs w:val="0"/>
          <w:color w:val="333333"/>
          <w:sz w:val="28"/>
          <w:szCs w:val="28"/>
        </w:rPr>
        <w:t>2023级、2024级、2025级和2026级在基本修业年限内的全日制研究生，国际生、联培项目学生（医院联培、鹏城实验室联培、光启高等理工研究院联培、高校联培、省实验室联培、校企联培）、退出联培项目学生、科研经费博士生不参评</w:t>
      </w:r>
    </w:p>
    <w:p w14:paraId="5773B263">
      <w:pPr>
        <w:pStyle w:val="5"/>
        <w:numPr>
          <w:ilvl w:val="0"/>
          <w:numId w:val="1"/>
        </w:numPr>
        <w:shd w:val="clear" w:color="auto" w:fill="FFFFFF"/>
        <w:spacing w:before="0" w:beforeAutospacing="0" w:after="0" w:afterAutospacing="0"/>
        <w:ind w:firstLine="560" w:firstLineChars="200"/>
        <w:rPr>
          <w:rStyle w:val="8"/>
          <w:rFonts w:hint="eastAsia" w:ascii="仿宋" w:hAnsi="仿宋" w:eastAsia="仿宋" w:cs="Times New Roman"/>
          <w:b w:val="0"/>
          <w:bCs w:val="0"/>
          <w:color w:val="333333"/>
          <w:sz w:val="28"/>
          <w:szCs w:val="28"/>
        </w:rPr>
      </w:pPr>
      <w:r>
        <w:rPr>
          <w:rStyle w:val="8"/>
          <w:rFonts w:hint="eastAsia" w:ascii="仿宋" w:hAnsi="仿宋" w:eastAsia="仿宋" w:cs="Times New Roman"/>
          <w:b w:val="0"/>
          <w:bCs w:val="0"/>
          <w:color w:val="333333"/>
          <w:sz w:val="28"/>
          <w:szCs w:val="28"/>
        </w:rPr>
        <w:t>评</w:t>
      </w:r>
      <w:r>
        <w:rPr>
          <w:rStyle w:val="8"/>
          <w:rFonts w:hint="eastAsia" w:ascii="仿宋" w:hAnsi="仿宋" w:eastAsia="仿宋" w:cs="Times New Roman"/>
          <w:b w:val="0"/>
          <w:bCs w:val="0"/>
          <w:color w:val="333333"/>
          <w:sz w:val="28"/>
          <w:szCs w:val="28"/>
          <w:lang w:eastAsia="zh-CN"/>
        </w:rPr>
        <w:t>定</w:t>
      </w:r>
      <w:r>
        <w:rPr>
          <w:rStyle w:val="8"/>
          <w:rFonts w:hint="eastAsia" w:ascii="仿宋" w:hAnsi="仿宋" w:eastAsia="仿宋" w:cs="Times New Roman"/>
          <w:b w:val="0"/>
          <w:bCs w:val="0"/>
          <w:color w:val="333333"/>
          <w:sz w:val="28"/>
          <w:szCs w:val="28"/>
        </w:rPr>
        <w:t>条件</w:t>
      </w:r>
    </w:p>
    <w:p w14:paraId="2F6EE115">
      <w:pPr>
        <w:pStyle w:val="5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" w:hAnsi="仿宋" w:eastAsia="仿宋" w:cs="Times New Roman"/>
          <w:color w:val="262626" w:themeColor="text1" w:themeTint="D9"/>
          <w:sz w:val="28"/>
          <w:szCs w:val="28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仿宋" w:hAnsi="仿宋" w:eastAsia="仿宋" w:cs="Times New Roman"/>
          <w:color w:val="262626" w:themeColor="text1" w:themeTint="D9"/>
          <w:sz w:val="28"/>
          <w:szCs w:val="28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(一)基本条件：</w:t>
      </w:r>
    </w:p>
    <w:p w14:paraId="723B08BD">
      <w:pPr>
        <w:pStyle w:val="5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" w:hAnsi="仿宋" w:eastAsia="仿宋" w:cs="Times New Roman"/>
          <w:color w:val="262626" w:themeColor="text1" w:themeTint="D9"/>
          <w:sz w:val="28"/>
          <w:szCs w:val="28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仿宋" w:hAnsi="仿宋" w:eastAsia="仿宋" w:cs="Times New Roman"/>
          <w:color w:val="262626" w:themeColor="text1" w:themeTint="D9"/>
          <w:sz w:val="28"/>
          <w:szCs w:val="28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(1)热爱祖国，拥护中国共产党的领导；</w:t>
      </w:r>
    </w:p>
    <w:p w14:paraId="31AE677D">
      <w:pPr>
        <w:pStyle w:val="5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" w:hAnsi="仿宋" w:eastAsia="仿宋" w:cs="Times New Roman"/>
          <w:color w:val="262626" w:themeColor="text1" w:themeTint="D9"/>
          <w:sz w:val="28"/>
          <w:szCs w:val="28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仿宋" w:hAnsi="仿宋" w:eastAsia="仿宋" w:cs="Times New Roman"/>
          <w:color w:val="262626" w:themeColor="text1" w:themeTint="D9"/>
          <w:sz w:val="28"/>
          <w:szCs w:val="28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(2)遵守宪法和法律；</w:t>
      </w:r>
    </w:p>
    <w:p w14:paraId="3DD40760">
      <w:pPr>
        <w:pStyle w:val="5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" w:hAnsi="仿宋" w:eastAsia="仿宋" w:cs="Times New Roman"/>
          <w:color w:val="262626" w:themeColor="text1" w:themeTint="D9"/>
          <w:sz w:val="28"/>
          <w:szCs w:val="28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仿宋" w:hAnsi="仿宋" w:eastAsia="仿宋" w:cs="Times New Roman"/>
          <w:color w:val="262626" w:themeColor="text1" w:themeTint="D9"/>
          <w:sz w:val="28"/>
          <w:szCs w:val="28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(3)诚实守信，学风端正，品学兼优；</w:t>
      </w:r>
    </w:p>
    <w:p w14:paraId="1973BEEC">
      <w:pPr>
        <w:pStyle w:val="5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" w:hAnsi="仿宋" w:eastAsia="仿宋" w:cs="Times New Roman"/>
          <w:color w:val="262626" w:themeColor="text1" w:themeTint="D9"/>
          <w:sz w:val="28"/>
          <w:szCs w:val="28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仿宋" w:hAnsi="仿宋" w:eastAsia="仿宋" w:cs="Times New Roman"/>
          <w:color w:val="262626" w:themeColor="text1" w:themeTint="D9"/>
          <w:sz w:val="28"/>
          <w:szCs w:val="28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(4)积极参与科学研究、专业实践和社会实践。</w:t>
      </w:r>
    </w:p>
    <w:p w14:paraId="5492CD19">
      <w:pPr>
        <w:pStyle w:val="5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" w:hAnsi="仿宋" w:eastAsia="仿宋" w:cs="Times New Roman"/>
          <w:color w:val="262626" w:themeColor="text1" w:themeTint="D9"/>
          <w:sz w:val="28"/>
          <w:szCs w:val="28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仿宋" w:hAnsi="仿宋" w:eastAsia="仿宋" w:cs="Times New Roman"/>
          <w:color w:val="262626" w:themeColor="text1" w:themeTint="D9"/>
          <w:sz w:val="28"/>
          <w:szCs w:val="28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(二)研究生有下列情况之一者不能参加特等奖助研津贴申请：</w:t>
      </w:r>
    </w:p>
    <w:p w14:paraId="632A5445">
      <w:pPr>
        <w:pStyle w:val="5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" w:hAnsi="仿宋" w:eastAsia="仿宋" w:cs="Times New Roman"/>
          <w:color w:val="262626" w:themeColor="text1" w:themeTint="D9"/>
          <w:sz w:val="28"/>
          <w:szCs w:val="28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仿宋" w:hAnsi="仿宋" w:eastAsia="仿宋" w:cs="Times New Roman"/>
          <w:color w:val="262626" w:themeColor="text1" w:themeTint="D9"/>
          <w:sz w:val="28"/>
          <w:szCs w:val="28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(1)在校期间受到过违纪处分且尚未解除的；</w:t>
      </w:r>
    </w:p>
    <w:p w14:paraId="47E95562">
      <w:pPr>
        <w:pStyle w:val="5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" w:hAnsi="仿宋" w:eastAsia="仿宋" w:cs="Times New Roman"/>
          <w:color w:val="262626" w:themeColor="text1" w:themeTint="D9"/>
          <w:sz w:val="28"/>
          <w:szCs w:val="28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仿宋" w:hAnsi="仿宋" w:eastAsia="仿宋" w:cs="Times New Roman"/>
          <w:color w:val="262626" w:themeColor="text1" w:themeTint="D9"/>
          <w:sz w:val="28"/>
          <w:szCs w:val="28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(2)参评学年内受到各类处分或院校通报批评；</w:t>
      </w:r>
    </w:p>
    <w:p w14:paraId="78997D20">
      <w:pPr>
        <w:pStyle w:val="5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" w:hAnsi="仿宋" w:eastAsia="仿宋" w:cs="Times New Roman"/>
          <w:color w:val="262626" w:themeColor="text1" w:themeTint="D9"/>
          <w:sz w:val="28"/>
          <w:szCs w:val="28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仿宋" w:hAnsi="仿宋" w:eastAsia="仿宋" w:cs="Times New Roman"/>
          <w:color w:val="262626" w:themeColor="text1" w:themeTint="D9"/>
          <w:sz w:val="28"/>
          <w:szCs w:val="28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(3)参评学年内违反学校学业诚信守则，违反校纪校规的；</w:t>
      </w:r>
    </w:p>
    <w:p w14:paraId="49DF93A7">
      <w:pPr>
        <w:pStyle w:val="5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" w:hAnsi="仿宋" w:eastAsia="仿宋" w:cs="Times New Roman"/>
          <w:color w:val="262626" w:themeColor="text1" w:themeTint="D9"/>
          <w:sz w:val="28"/>
          <w:szCs w:val="28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仿宋" w:hAnsi="仿宋" w:eastAsia="仿宋" w:cs="Times New Roman"/>
          <w:color w:val="262626" w:themeColor="text1" w:themeTint="D9"/>
          <w:sz w:val="28"/>
          <w:szCs w:val="28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(4)参评学年学籍状态处于休学、保留学籍者；</w:t>
      </w:r>
    </w:p>
    <w:p w14:paraId="07F0AF9D">
      <w:pPr>
        <w:pStyle w:val="5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" w:hAnsi="仿宋" w:eastAsia="仿宋" w:cs="Times New Roman"/>
          <w:color w:val="262626" w:themeColor="text1" w:themeTint="D9"/>
          <w:sz w:val="28"/>
          <w:szCs w:val="28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仿宋" w:hAnsi="仿宋" w:eastAsia="仿宋" w:cs="Times New Roman"/>
          <w:color w:val="262626" w:themeColor="text1" w:themeTint="D9"/>
          <w:sz w:val="28"/>
          <w:szCs w:val="28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(5)参评学年各科成绩中有C档及以下者（包括C+）；</w:t>
      </w:r>
    </w:p>
    <w:p w14:paraId="56DAD4A4">
      <w:pPr>
        <w:pStyle w:val="5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" w:hAnsi="仿宋" w:eastAsia="仿宋" w:cs="Times New Roman"/>
          <w:color w:val="262626" w:themeColor="text1" w:themeTint="D9"/>
          <w:sz w:val="28"/>
          <w:szCs w:val="28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  <w:r>
        <w:rPr>
          <w:rFonts w:hint="eastAsia" w:ascii="仿宋" w:hAnsi="仿宋" w:eastAsia="仿宋" w:cs="Times New Roman"/>
          <w:color w:val="262626" w:themeColor="text1" w:themeTint="D9"/>
          <w:sz w:val="28"/>
          <w:szCs w:val="28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  <w:t>(6)有学术不端行为者。</w:t>
      </w:r>
    </w:p>
    <w:p w14:paraId="339F1035">
      <w:pPr>
        <w:pStyle w:val="5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" w:hAnsi="仿宋" w:eastAsia="仿宋" w:cs="Times New Roman"/>
          <w:color w:val="262626" w:themeColor="text1" w:themeTint="D9"/>
          <w:sz w:val="28"/>
          <w:szCs w:val="28"/>
          <w:lang w:eastAsia="zh-CN"/>
          <w14:textFill>
            <w14:solidFill>
              <w14:schemeClr w14:val="tx1">
                <w14:lumMod w14:val="85000"/>
                <w14:lumOff w14:val="15000"/>
              </w14:schemeClr>
            </w14:solidFill>
          </w14:textFill>
        </w:rPr>
      </w:pPr>
    </w:p>
    <w:p w14:paraId="732C2CD3">
      <w:pPr>
        <w:pStyle w:val="5"/>
        <w:shd w:val="clear" w:color="auto" w:fill="FFFFFF"/>
        <w:spacing w:before="0" w:beforeAutospacing="0" w:after="0" w:afterAutospacing="0"/>
        <w:rPr>
          <w:rStyle w:val="8"/>
          <w:rFonts w:hint="default" w:ascii="仿宋" w:hAnsi="仿宋" w:eastAsia="仿宋" w:cs="Times New Roman"/>
          <w:color w:val="333333"/>
          <w:sz w:val="28"/>
          <w:szCs w:val="28"/>
          <w:lang w:val="en-US" w:eastAsia="zh-CN"/>
        </w:rPr>
      </w:pPr>
      <w:r>
        <w:rPr>
          <w:rStyle w:val="8"/>
          <w:rFonts w:hint="eastAsia" w:ascii="仿宋" w:hAnsi="仿宋" w:eastAsia="仿宋" w:cs="Times New Roman"/>
          <w:color w:val="333333"/>
          <w:sz w:val="28"/>
          <w:szCs w:val="28"/>
        </w:rPr>
        <w:t>三、评</w:t>
      </w:r>
      <w:r>
        <w:rPr>
          <w:rStyle w:val="8"/>
          <w:rFonts w:hint="eastAsia" w:ascii="仿宋" w:hAnsi="仿宋" w:eastAsia="仿宋" w:cs="Times New Roman"/>
          <w:color w:val="333333"/>
          <w:sz w:val="28"/>
          <w:szCs w:val="28"/>
          <w:lang w:eastAsia="zh-CN"/>
        </w:rPr>
        <w:t>定</w:t>
      </w:r>
      <w:r>
        <w:rPr>
          <w:rStyle w:val="8"/>
          <w:rFonts w:hint="eastAsia" w:ascii="仿宋" w:hAnsi="仿宋" w:eastAsia="仿宋" w:cs="Times New Roman"/>
          <w:color w:val="333333"/>
          <w:sz w:val="28"/>
          <w:szCs w:val="28"/>
        </w:rPr>
        <w:t>工作进度安排</w:t>
      </w:r>
    </w:p>
    <w:p w14:paraId="36D2F46F">
      <w:pPr>
        <w:pStyle w:val="5"/>
        <w:shd w:val="clear" w:color="auto" w:fill="FFFFFF"/>
        <w:spacing w:before="0" w:beforeAutospacing="0" w:after="0" w:afterAutospacing="0"/>
        <w:ind w:firstLine="562" w:firstLineChars="200"/>
        <w:rPr>
          <w:rFonts w:hint="eastAsia" w:ascii="仿宋" w:hAnsi="仿宋" w:eastAsia="仿宋" w:cs="Times New Roman"/>
          <w:b/>
          <w:bCs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color w:val="333333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Times New Roman"/>
          <w:b/>
          <w:bCs/>
          <w:color w:val="333333"/>
          <w:sz w:val="28"/>
          <w:szCs w:val="28"/>
          <w:lang w:val="en-US" w:eastAsia="zh-CN"/>
        </w:rPr>
        <w:t>一</w:t>
      </w:r>
      <w:r>
        <w:rPr>
          <w:rFonts w:hint="eastAsia" w:ascii="仿宋" w:hAnsi="仿宋" w:eastAsia="仿宋" w:cs="Times New Roman"/>
          <w:b/>
          <w:bCs/>
          <w:color w:val="333333"/>
          <w:sz w:val="28"/>
          <w:szCs w:val="28"/>
          <w:lang w:eastAsia="zh-CN"/>
        </w:rPr>
        <w:t>）</w:t>
      </w:r>
      <w:r>
        <w:rPr>
          <w:rFonts w:ascii="仿宋" w:hAnsi="仿宋" w:eastAsia="仿宋" w:cs="Times New Roman"/>
          <w:b/>
          <w:bCs/>
          <w:color w:val="333333"/>
          <w:sz w:val="28"/>
          <w:szCs w:val="28"/>
        </w:rPr>
        <w:t>助研奖励津贴</w:t>
      </w:r>
      <w:r>
        <w:rPr>
          <w:rFonts w:hint="eastAsia" w:ascii="仿宋" w:hAnsi="仿宋" w:eastAsia="仿宋" w:cs="Times New Roman"/>
          <w:b/>
          <w:bCs/>
          <w:color w:val="333333"/>
          <w:sz w:val="28"/>
          <w:szCs w:val="28"/>
          <w:lang w:val="en-US" w:eastAsia="zh-CN"/>
        </w:rPr>
        <w:t>发放标准</w:t>
      </w:r>
    </w:p>
    <w:p w14:paraId="664CC80A">
      <w:pPr>
        <w:pStyle w:val="5"/>
        <w:shd w:val="clear" w:color="auto" w:fill="FFFFFF"/>
        <w:spacing w:before="0" w:beforeAutospacing="0" w:after="0" w:afterAutospacing="0"/>
        <w:ind w:firstLine="562" w:firstLineChars="200"/>
        <w:rPr>
          <w:rFonts w:hint="eastAsia" w:ascii="仿宋" w:hAnsi="仿宋" w:eastAsia="仿宋" w:cs="Times New Roman"/>
          <w:b/>
          <w:bCs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color w:val="333333"/>
          <w:sz w:val="28"/>
          <w:szCs w:val="28"/>
          <w:lang w:val="en-US" w:eastAsia="zh-CN"/>
        </w:rPr>
        <w:t>助研奖励津贴，设特等奖和一等奖。</w:t>
      </w:r>
    </w:p>
    <w:p w14:paraId="1158C142">
      <w:pPr>
        <w:pStyle w:val="5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  <w:t>每岗每月奖励标准为：硕士研究生特等奖为3000元，一等奖为2000元。</w:t>
      </w:r>
    </w:p>
    <w:p w14:paraId="37135B16">
      <w:pPr>
        <w:pStyle w:val="5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  <w:t>博士研究生一年级不论开题与否，只设一等奖为2500元。自博士研究生二年级起，开题报告通过前，只设一等奖为2500元；开题报告通过后，特等奖为4500元，一等奖为3000元。</w:t>
      </w:r>
    </w:p>
    <w:p w14:paraId="7BF4F033">
      <w:pPr>
        <w:pStyle w:val="5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  <w:t>奖励比例：特等奖不超过20%,以各年级实有人数  (不含在职人员)为基准计算奖励名额；其余符合基本条件的研究生都是“一等奖”助研研究生。</w:t>
      </w:r>
    </w:p>
    <w:p w14:paraId="56E83A90">
      <w:pPr>
        <w:pStyle w:val="5"/>
        <w:shd w:val="clear" w:color="auto" w:fill="FFFFFF"/>
        <w:spacing w:before="0" w:beforeAutospacing="0" w:after="0" w:afterAutospacing="0"/>
        <w:ind w:firstLine="562" w:firstLineChars="200"/>
        <w:rPr>
          <w:rFonts w:hint="default" w:ascii="仿宋" w:hAnsi="仿宋" w:eastAsia="仿宋" w:cs="Times New Roman"/>
          <w:b/>
          <w:bCs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color w:val="333333"/>
          <w:sz w:val="28"/>
          <w:szCs w:val="28"/>
          <w:lang w:eastAsia="zh-CN"/>
        </w:rPr>
        <w:t>（</w:t>
      </w:r>
      <w:r>
        <w:rPr>
          <w:rFonts w:hint="eastAsia" w:ascii="仿宋" w:hAnsi="仿宋" w:eastAsia="仿宋" w:cs="Times New Roman"/>
          <w:b/>
          <w:bCs/>
          <w:color w:val="333333"/>
          <w:sz w:val="28"/>
          <w:szCs w:val="28"/>
          <w:lang w:val="en-US" w:eastAsia="zh-CN"/>
        </w:rPr>
        <w:t>二</w:t>
      </w:r>
      <w:r>
        <w:rPr>
          <w:rFonts w:hint="eastAsia" w:ascii="仿宋" w:hAnsi="仿宋" w:eastAsia="仿宋" w:cs="Times New Roman"/>
          <w:b/>
          <w:bCs/>
          <w:color w:val="333333"/>
          <w:sz w:val="28"/>
          <w:szCs w:val="28"/>
          <w:lang w:eastAsia="zh-CN"/>
        </w:rPr>
        <w:t>）</w:t>
      </w:r>
      <w:r>
        <w:rPr>
          <w:rFonts w:ascii="仿宋" w:hAnsi="仿宋" w:eastAsia="仿宋" w:cs="Times New Roman"/>
          <w:b/>
          <w:bCs/>
          <w:color w:val="333333"/>
          <w:sz w:val="28"/>
          <w:szCs w:val="28"/>
        </w:rPr>
        <w:t>助研奖励津贴</w:t>
      </w:r>
      <w:r>
        <w:rPr>
          <w:rFonts w:hint="eastAsia" w:ascii="仿宋" w:hAnsi="仿宋" w:eastAsia="仿宋" w:cs="Times New Roman"/>
          <w:b/>
          <w:bCs/>
          <w:color w:val="333333"/>
          <w:sz w:val="28"/>
          <w:szCs w:val="28"/>
          <w:lang w:val="en-US" w:eastAsia="zh-CN"/>
        </w:rPr>
        <w:t>评定细则</w:t>
      </w:r>
    </w:p>
    <w:p w14:paraId="096A6677">
      <w:pPr>
        <w:pStyle w:val="2"/>
        <w:spacing w:before="274" w:line="224" w:lineRule="auto"/>
        <w:ind w:left="38"/>
        <w:rPr>
          <w:b/>
          <w:bCs/>
          <w:highlight w:val="none"/>
        </w:rPr>
      </w:pPr>
      <w:r>
        <w:rPr>
          <w:b/>
          <w:bCs/>
          <w:spacing w:val="9"/>
          <w:highlight w:val="none"/>
        </w:rPr>
        <w:t>1.硕士研究生</w:t>
      </w:r>
    </w:p>
    <w:p w14:paraId="0AE19B10">
      <w:pPr>
        <w:pStyle w:val="5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  <w:t>(1)硕士研究生一年级第一学期结束前，统一评定为一等奖；第一学期结束后，根据第一学期的课程成绩、科研成果和学科竞赛等要素，计算出综合成绩,评定第二学期的奖励津贴等级。</w:t>
      </w:r>
    </w:p>
    <w:p w14:paraId="0F771700">
      <w:pPr>
        <w:pStyle w:val="5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  <w:t>(2)硕士二年级研究生，在已经开题的学生中，根据第一学年的课程成绩、科研成果和学科竞赛等要素，计算出综合成绩, 评定本年度的奖励津贴等级。</w:t>
      </w:r>
    </w:p>
    <w:p w14:paraId="48B81FF0">
      <w:pPr>
        <w:pStyle w:val="5"/>
        <w:shd w:val="clear" w:color="auto" w:fill="FFFFFF"/>
        <w:spacing w:before="0" w:beforeAutospacing="0" w:after="0" w:afterAutospacing="0"/>
        <w:ind w:firstLine="562" w:firstLineChars="200"/>
        <w:rPr>
          <w:rFonts w:hint="eastAsia" w:ascii="仿宋" w:hAnsi="仿宋" w:eastAsia="仿宋" w:cs="Times New Roman"/>
          <w:b/>
          <w:bCs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color w:val="333333"/>
          <w:sz w:val="28"/>
          <w:szCs w:val="28"/>
          <w:lang w:val="en-US" w:eastAsia="zh-CN"/>
        </w:rPr>
        <w:t xml:space="preserve">硕士研究生综合得分=课程成绩×75%+科研成果×15%+学科竞赛×5%+研究生工作委员会评分×5% </w:t>
      </w:r>
    </w:p>
    <w:p w14:paraId="1A5C81F6">
      <w:pPr>
        <w:pStyle w:val="5"/>
        <w:shd w:val="clear" w:color="auto" w:fill="FFFFFF"/>
        <w:spacing w:before="0" w:beforeAutospacing="0" w:after="0" w:afterAutospacing="0"/>
        <w:ind w:firstLine="562" w:firstLineChars="200"/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color w:val="333333"/>
          <w:sz w:val="28"/>
          <w:szCs w:val="28"/>
          <w:lang w:val="en-US" w:eastAsia="zh-CN"/>
        </w:rPr>
        <w:t>课程成绩：</w:t>
      </w:r>
      <w:r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  <w:t>所修课程总GPA;</w:t>
      </w:r>
    </w:p>
    <w:p w14:paraId="445CD4E1">
      <w:pPr>
        <w:pStyle w:val="5"/>
        <w:shd w:val="clear" w:color="auto" w:fill="FFFFFF"/>
        <w:spacing w:before="0" w:beforeAutospacing="0" w:after="0" w:afterAutospacing="0"/>
        <w:ind w:firstLine="562" w:firstLineChars="200"/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color w:val="333333"/>
          <w:sz w:val="28"/>
          <w:szCs w:val="28"/>
          <w:lang w:val="en-US" w:eastAsia="zh-CN"/>
        </w:rPr>
        <w:t>科研成果及学科竞赛认定时间：</w:t>
      </w:r>
      <w:r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  <w:t>2025年9月1日-2026年8月31日（前面评选中未使用的成果）。</w:t>
      </w:r>
    </w:p>
    <w:p w14:paraId="63986886">
      <w:pPr>
        <w:pStyle w:val="2"/>
        <w:numPr>
          <w:ilvl w:val="0"/>
          <w:numId w:val="2"/>
        </w:numPr>
        <w:spacing w:before="274" w:line="224" w:lineRule="auto"/>
        <w:ind w:left="38"/>
        <w:rPr>
          <w:rFonts w:hint="eastAsia"/>
          <w:b/>
          <w:bCs/>
          <w:spacing w:val="9"/>
          <w:highlight w:val="none"/>
          <w:lang w:val="en-US" w:eastAsia="zh-CN"/>
        </w:rPr>
      </w:pPr>
      <w:r>
        <w:rPr>
          <w:rFonts w:hint="eastAsia"/>
          <w:b/>
          <w:bCs/>
          <w:spacing w:val="9"/>
          <w:highlight w:val="none"/>
          <w:lang w:val="en-US" w:eastAsia="zh-CN"/>
        </w:rPr>
        <w:t>博士研究生</w:t>
      </w:r>
    </w:p>
    <w:p w14:paraId="5E114699">
      <w:pPr>
        <w:pStyle w:val="5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  <w:t>（1）博士研究生一年级不论开题与否，只设一等奖。</w:t>
      </w:r>
    </w:p>
    <w:p w14:paraId="6021D49E">
      <w:pPr>
        <w:pStyle w:val="5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  <w:t>（2）自博士二年级起，开题报告通过前统一评定为一等奖。开题报告通过后，按照学年评定下一阶段的奖励津贴等级。评定标准根据课程成绩、科研成果和学科竞赛等要素，计算出综合成绩。</w:t>
      </w:r>
    </w:p>
    <w:p w14:paraId="38914BE4">
      <w:pPr>
        <w:pStyle w:val="5"/>
        <w:shd w:val="clear" w:color="auto" w:fill="FFFFFF"/>
        <w:spacing w:before="0" w:beforeAutospacing="0" w:after="0" w:afterAutospacing="0"/>
        <w:ind w:firstLine="562" w:firstLineChars="200"/>
        <w:rPr>
          <w:rFonts w:hint="eastAsia" w:ascii="仿宋" w:hAnsi="仿宋" w:eastAsia="仿宋" w:cs="Times New Roman"/>
          <w:b/>
          <w:bCs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color w:val="333333"/>
          <w:sz w:val="28"/>
          <w:szCs w:val="28"/>
          <w:lang w:val="en-US" w:eastAsia="zh-CN"/>
        </w:rPr>
        <w:t xml:space="preserve">博士研究生综合得分=课程成绩×50%+科研成果×30%+学科竞赛×5%+研究生工作委员会评分×15% </w:t>
      </w:r>
    </w:p>
    <w:p w14:paraId="7D5F11E1">
      <w:pPr>
        <w:pStyle w:val="5"/>
        <w:shd w:val="clear" w:color="auto" w:fill="FFFFFF"/>
        <w:spacing w:before="0" w:beforeAutospacing="0" w:after="0" w:afterAutospacing="0"/>
        <w:ind w:firstLine="562" w:firstLineChars="200"/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color w:val="333333"/>
          <w:sz w:val="28"/>
          <w:szCs w:val="28"/>
          <w:lang w:val="en-US" w:eastAsia="zh-CN"/>
        </w:rPr>
        <w:t>课程成绩：</w:t>
      </w:r>
      <w:r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  <w:t>所修课程总GPA;</w:t>
      </w:r>
    </w:p>
    <w:p w14:paraId="7898727F">
      <w:pPr>
        <w:pStyle w:val="5"/>
        <w:shd w:val="clear" w:color="auto" w:fill="FFFFFF"/>
        <w:spacing w:before="0" w:beforeAutospacing="0" w:after="0" w:afterAutospacing="0"/>
        <w:ind w:firstLine="562" w:firstLineChars="200"/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color w:val="333333"/>
          <w:sz w:val="28"/>
          <w:szCs w:val="28"/>
          <w:lang w:val="en-US" w:eastAsia="zh-CN"/>
        </w:rPr>
        <w:t>科研成果及学科竞赛认定时间：</w:t>
      </w:r>
      <w:r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  <w:t>博士二年级开题前的成果都能参评（开题后才有评特等资格）；博士三年级：开题后-2026年8月31日；博士四年级：2025年9月1日-2026年8月31日。</w:t>
      </w:r>
    </w:p>
    <w:p w14:paraId="6FA7B367">
      <w:pPr>
        <w:pStyle w:val="5"/>
        <w:shd w:val="clear" w:color="auto" w:fill="FFFFFF"/>
        <w:spacing w:before="0" w:beforeAutospacing="0" w:after="0" w:afterAutospacing="0"/>
        <w:ind w:firstLine="562" w:firstLineChars="200"/>
        <w:rPr>
          <w:rFonts w:hint="eastAsia" w:ascii="仿宋" w:hAnsi="仿宋" w:eastAsia="仿宋" w:cs="Times New Roman"/>
          <w:b/>
          <w:bCs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color w:val="333333"/>
          <w:sz w:val="28"/>
          <w:szCs w:val="28"/>
          <w:lang w:val="en-US" w:eastAsia="zh-CN"/>
        </w:rPr>
        <w:t xml:space="preserve">综合得分四个要素说明 </w:t>
      </w:r>
    </w:p>
    <w:p w14:paraId="4C2BA9AF">
      <w:pPr>
        <w:pStyle w:val="5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  <w:t xml:space="preserve">(1)课程成绩。参评期内所有课程GPA(换算为百分制成绩)。 </w:t>
      </w:r>
    </w:p>
    <w:p w14:paraId="00B5CC9E">
      <w:pPr>
        <w:pStyle w:val="5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  <w:t>(2)科研成果。</w:t>
      </w:r>
      <w:bookmarkStart w:id="0" w:name="_GoBack"/>
      <w:bookmarkEnd w:id="0"/>
      <w:r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  <w:t>在SCI期刊发表学术论文两篇及以上科研成果即可获得100分（含已接受，需提供接受函相关证明材料），发表1篇学术论文科研成果即可获得80分（含已接受，需提供接受函相关证明材料）。论文中学生的第一署名单位必须为南方科技大学。有国自然博士生基金项目的可获得100分。</w:t>
      </w:r>
    </w:p>
    <w:p w14:paraId="0BE17467">
      <w:pPr>
        <w:pStyle w:val="5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  <w:t xml:space="preserve">(3)学科竞赛。对于参加各类国际、国家级、省市级、校级学科竞赛并获奖的学生按照项目等级进行计分奖励。国际类获奖100分，国家级获奖80分，省市级获奖60分，校级获奖40分。 </w:t>
      </w:r>
    </w:p>
    <w:p w14:paraId="2322A076">
      <w:pPr>
        <w:pStyle w:val="5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  <w:t>（4）研究生工作委员会评分。由研究生工作委员会教授对申请学生进行打分（百分制），最后得分取平均分。</w:t>
      </w:r>
    </w:p>
    <w:p w14:paraId="3213A3E2">
      <w:pPr>
        <w:pStyle w:val="5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  <w:t>数学系按照考核结果，在数学系网站公示3个工作日。公示 无异议后，把考核结果报研究生院备案。</w:t>
      </w:r>
    </w:p>
    <w:p w14:paraId="5B8B821F">
      <w:pPr>
        <w:pStyle w:val="5"/>
        <w:shd w:val="clear" w:color="auto" w:fill="FFFFFF"/>
        <w:spacing w:before="0" w:beforeAutospacing="0" w:after="0" w:afterAutospacing="0"/>
        <w:ind w:firstLine="562" w:firstLineChars="200"/>
        <w:rPr>
          <w:rFonts w:hint="eastAsia" w:ascii="仿宋" w:hAnsi="仿宋" w:eastAsia="仿宋" w:cs="Times New Roman"/>
          <w:b/>
          <w:bCs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b/>
          <w:bCs/>
          <w:color w:val="333333"/>
          <w:sz w:val="28"/>
          <w:szCs w:val="28"/>
          <w:lang w:val="en-US" w:eastAsia="zh-CN"/>
        </w:rPr>
        <w:t>四、附 则</w:t>
      </w:r>
    </w:p>
    <w:p w14:paraId="6C37E190">
      <w:pPr>
        <w:pStyle w:val="5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  <w:t xml:space="preserve"> 各项计分需提供相应证明材料，经研究生委员会认定后方可计分。得分相同者，按照科研分、学科竞赛 分、成绩分、研究生工作委员会评分依次排序。</w:t>
      </w:r>
    </w:p>
    <w:p w14:paraId="1259A486">
      <w:pPr>
        <w:pStyle w:val="5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  <w:t>其他未作规定情况，参照《南方科技大学研究生助研、助 教、助管和学生辅导员岗位管理实施办法》(南科大【2022】108号) 的相关文件要求执行。</w:t>
      </w:r>
    </w:p>
    <w:p w14:paraId="00DB8618">
      <w:pPr>
        <w:pStyle w:val="5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  <w:t>本办法自2026年9月1日起执行，至2027年8月31日停止。</w:t>
      </w:r>
    </w:p>
    <w:p w14:paraId="62BEDBF8">
      <w:pPr>
        <w:pStyle w:val="5"/>
        <w:shd w:val="clear" w:color="auto" w:fill="FFFFFF"/>
        <w:spacing w:before="0" w:beforeAutospacing="0" w:after="0" w:afterAutospacing="0"/>
        <w:ind w:firstLine="560" w:firstLineChars="200"/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</w:pPr>
    </w:p>
    <w:p w14:paraId="6D592FF0">
      <w:pPr>
        <w:pStyle w:val="5"/>
        <w:shd w:val="clear" w:color="auto" w:fill="FFFFFF"/>
        <w:spacing w:before="0" w:beforeAutospacing="0" w:after="0" w:afterAutospacing="0"/>
        <w:ind w:firstLine="4480" w:firstLineChars="1600"/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  <w:t>南方科技大学数学系</w:t>
      </w:r>
    </w:p>
    <w:p w14:paraId="141FDA9F">
      <w:pPr>
        <w:pStyle w:val="5"/>
        <w:shd w:val="clear" w:color="auto" w:fill="FFFFFF"/>
        <w:spacing w:before="0" w:beforeAutospacing="0" w:after="0" w:afterAutospacing="0"/>
        <w:ind w:firstLine="4760" w:firstLineChars="1700"/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color w:val="333333"/>
          <w:sz w:val="28"/>
          <w:szCs w:val="28"/>
          <w:lang w:val="en-US" w:eastAsia="zh-CN"/>
        </w:rPr>
        <w:t>2026年7月1日</w:t>
      </w:r>
    </w:p>
    <w:p w14:paraId="21A18F38">
      <w:pPr>
        <w:pStyle w:val="5"/>
        <w:shd w:val="clear" w:color="auto" w:fill="FFFFFF"/>
        <w:spacing w:before="0" w:beforeAutospacing="0" w:after="0" w:afterAutospacing="0"/>
        <w:rPr>
          <w:rFonts w:ascii="仿宋" w:hAnsi="仿宋" w:eastAsia="仿宋" w:cs="Times New Roman"/>
          <w:color w:val="000000"/>
          <w:sz w:val="28"/>
          <w:szCs w:val="28"/>
        </w:rPr>
      </w:pPr>
    </w:p>
    <w:p w14:paraId="6BBCE990">
      <w:pPr>
        <w:pStyle w:val="5"/>
        <w:shd w:val="clear" w:color="auto" w:fill="FFFFFF"/>
        <w:spacing w:before="0" w:beforeAutospacing="0" w:after="0" w:afterAutospacing="0"/>
        <w:rPr>
          <w:rFonts w:ascii="仿宋" w:hAnsi="仿宋" w:eastAsia="仿宋" w:cs="Times New Roman"/>
          <w:color w:val="000000"/>
          <w:sz w:val="28"/>
          <w:szCs w:val="28"/>
        </w:rPr>
      </w:pPr>
    </w:p>
    <w:p w14:paraId="1A1BE312">
      <w:pPr>
        <w:pStyle w:val="5"/>
        <w:shd w:val="clear" w:color="auto" w:fill="FFFFFF"/>
        <w:spacing w:before="0" w:beforeAutospacing="0" w:after="0" w:afterAutospacing="0"/>
        <w:rPr>
          <w:rFonts w:ascii="仿宋" w:hAnsi="仿宋" w:eastAsia="仿宋" w:cs="Times New Roman"/>
          <w:color w:val="000000"/>
          <w:sz w:val="28"/>
          <w:szCs w:val="28"/>
        </w:rPr>
      </w:pPr>
    </w:p>
    <w:p w14:paraId="280394E9">
      <w:pPr>
        <w:pStyle w:val="5"/>
        <w:shd w:val="clear" w:color="auto" w:fill="FFFFFF"/>
        <w:spacing w:before="0" w:beforeAutospacing="0" w:after="0" w:afterAutospacing="0"/>
        <w:rPr>
          <w:rFonts w:ascii="仿宋" w:hAnsi="仿宋" w:eastAsia="仿宋" w:cs="Times New Roman"/>
          <w:color w:val="000000"/>
          <w:sz w:val="28"/>
          <w:szCs w:val="28"/>
        </w:rPr>
      </w:pPr>
    </w:p>
    <w:p w14:paraId="6EAAB9C4">
      <w:pPr>
        <w:pStyle w:val="5"/>
        <w:shd w:val="clear" w:color="auto" w:fill="FFFFFF"/>
        <w:spacing w:before="0" w:beforeAutospacing="0" w:after="0" w:afterAutospacing="0"/>
        <w:rPr>
          <w:rFonts w:ascii="仿宋" w:hAnsi="仿宋" w:eastAsia="仿宋" w:cs="Times New Roman"/>
          <w:color w:val="000000"/>
          <w:sz w:val="28"/>
          <w:szCs w:val="28"/>
        </w:rPr>
      </w:pPr>
    </w:p>
    <w:p w14:paraId="461F3D0D">
      <w:pPr>
        <w:pStyle w:val="5"/>
        <w:shd w:val="clear" w:color="auto" w:fill="FFFFFF"/>
        <w:spacing w:before="0" w:beforeAutospacing="0" w:after="0" w:afterAutospacing="0"/>
        <w:rPr>
          <w:rFonts w:ascii="仿宋" w:hAnsi="仿宋" w:eastAsia="仿宋" w:cs="Times New Roman"/>
          <w:color w:val="000000"/>
          <w:sz w:val="28"/>
          <w:szCs w:val="28"/>
        </w:rPr>
      </w:pPr>
    </w:p>
    <w:p w14:paraId="0B106FCA">
      <w:pPr>
        <w:pStyle w:val="5"/>
        <w:shd w:val="clear" w:color="auto" w:fill="FFFFFF"/>
        <w:spacing w:before="0" w:beforeAutospacing="0" w:after="0" w:afterAutospacing="0"/>
        <w:rPr>
          <w:rFonts w:ascii="仿宋" w:hAnsi="仿宋" w:eastAsia="仿宋" w:cs="Times New Roman"/>
          <w:color w:val="000000"/>
          <w:sz w:val="28"/>
          <w:szCs w:val="28"/>
        </w:rPr>
      </w:pPr>
    </w:p>
    <w:p w14:paraId="1182EE59">
      <w:pPr>
        <w:pStyle w:val="5"/>
        <w:shd w:val="clear" w:color="auto" w:fill="FFFFFF"/>
        <w:spacing w:before="0" w:beforeAutospacing="0" w:after="0" w:afterAutospacing="0"/>
        <w:rPr>
          <w:rFonts w:ascii="仿宋" w:hAnsi="仿宋" w:eastAsia="仿宋" w:cs="Times New Roman"/>
          <w:color w:val="000000"/>
          <w:sz w:val="28"/>
          <w:szCs w:val="28"/>
        </w:rPr>
      </w:pPr>
    </w:p>
    <w:p w14:paraId="6AF8AE0C">
      <w:pPr>
        <w:pStyle w:val="5"/>
        <w:shd w:val="clear" w:color="auto" w:fill="FFFFFF"/>
        <w:spacing w:before="0" w:beforeAutospacing="0" w:after="0" w:afterAutospacing="0"/>
        <w:rPr>
          <w:rFonts w:ascii="仿宋" w:hAnsi="仿宋" w:eastAsia="仿宋" w:cs="Times New Roman"/>
          <w:color w:val="000000"/>
          <w:sz w:val="28"/>
          <w:szCs w:val="28"/>
        </w:rPr>
      </w:pPr>
    </w:p>
    <w:p w14:paraId="4A0CCCE3">
      <w:pPr>
        <w:pStyle w:val="5"/>
        <w:shd w:val="clear" w:color="auto" w:fill="FFFFFF"/>
        <w:spacing w:before="0" w:beforeAutospacing="0" w:after="0" w:afterAutospacing="0"/>
        <w:rPr>
          <w:rFonts w:ascii="仿宋" w:hAnsi="仿宋" w:eastAsia="仿宋" w:cs="Times New Roman"/>
          <w:color w:val="000000"/>
          <w:sz w:val="28"/>
          <w:szCs w:val="28"/>
        </w:rPr>
      </w:pPr>
    </w:p>
    <w:p w14:paraId="3069CDEB">
      <w:pPr>
        <w:pStyle w:val="5"/>
        <w:shd w:val="clear" w:color="auto" w:fill="FFFFFF"/>
        <w:spacing w:before="0" w:beforeAutospacing="0" w:after="0" w:afterAutospacing="0"/>
        <w:rPr>
          <w:rFonts w:ascii="仿宋" w:hAnsi="仿宋" w:eastAsia="仿宋" w:cs="Times New Roman"/>
          <w:color w:val="000000"/>
          <w:sz w:val="28"/>
          <w:szCs w:val="28"/>
        </w:rPr>
      </w:pPr>
    </w:p>
    <w:p w14:paraId="23142EB8">
      <w:pPr>
        <w:pStyle w:val="5"/>
        <w:shd w:val="clear" w:color="auto" w:fill="FFFFFF"/>
        <w:spacing w:before="0" w:beforeAutospacing="0" w:after="0" w:afterAutospacing="0"/>
        <w:rPr>
          <w:rFonts w:ascii="仿宋" w:hAnsi="仿宋" w:eastAsia="仿宋" w:cs="Times New Roman"/>
          <w:color w:val="000000"/>
          <w:sz w:val="28"/>
          <w:szCs w:val="28"/>
        </w:rPr>
      </w:pPr>
    </w:p>
    <w:p w14:paraId="6662CCE8">
      <w:pPr>
        <w:pStyle w:val="5"/>
        <w:shd w:val="clear" w:color="auto" w:fill="FFFFFF"/>
        <w:spacing w:before="0" w:beforeAutospacing="0" w:after="0" w:afterAutospacing="0"/>
        <w:rPr>
          <w:rFonts w:ascii="仿宋" w:hAnsi="仿宋" w:eastAsia="仿宋" w:cs="Times New Roman"/>
          <w:color w:val="000000"/>
          <w:sz w:val="28"/>
          <w:szCs w:val="28"/>
        </w:rPr>
      </w:pPr>
    </w:p>
    <w:p w14:paraId="7F5535BA">
      <w:pPr>
        <w:pStyle w:val="5"/>
        <w:shd w:val="clear" w:color="auto" w:fill="FFFFFF"/>
        <w:spacing w:before="0" w:beforeAutospacing="0" w:after="0" w:afterAutospacing="0"/>
        <w:rPr>
          <w:rFonts w:ascii="仿宋" w:hAnsi="仿宋" w:eastAsia="仿宋" w:cs="Times New Roman"/>
          <w:color w:val="000000"/>
          <w:sz w:val="28"/>
          <w:szCs w:val="28"/>
        </w:rPr>
      </w:pPr>
    </w:p>
    <w:p w14:paraId="19F1DCF8">
      <w:pPr>
        <w:pStyle w:val="5"/>
        <w:shd w:val="clear" w:color="auto" w:fill="FFFFFF"/>
        <w:spacing w:before="0" w:beforeAutospacing="0" w:after="0" w:afterAutospacing="0"/>
        <w:rPr>
          <w:rFonts w:ascii="仿宋" w:hAnsi="仿宋" w:eastAsia="仿宋" w:cs="Times New Roman"/>
          <w:color w:val="000000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73B4D5"/>
    <w:multiLevelType w:val="singleLevel"/>
    <w:tmpl w:val="FB73B4D5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65E2EC16"/>
    <w:multiLevelType w:val="singleLevel"/>
    <w:tmpl w:val="65E2EC16"/>
    <w:lvl w:ilvl="0" w:tentative="0">
      <w:start w:val="2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Q1NzYxM2M1ZDYzN2U1OWNjOTgyZGYxNmZjNWQ2ZWEifQ=="/>
  </w:docVars>
  <w:rsids>
    <w:rsidRoot w:val="008E60BD"/>
    <w:rsid w:val="00016762"/>
    <w:rsid w:val="0003760A"/>
    <w:rsid w:val="000B10FE"/>
    <w:rsid w:val="000C3646"/>
    <w:rsid w:val="001655E6"/>
    <w:rsid w:val="00195EED"/>
    <w:rsid w:val="001B6363"/>
    <w:rsid w:val="003342D2"/>
    <w:rsid w:val="00356547"/>
    <w:rsid w:val="00471700"/>
    <w:rsid w:val="00491545"/>
    <w:rsid w:val="00495F47"/>
    <w:rsid w:val="004B3BB8"/>
    <w:rsid w:val="004F069C"/>
    <w:rsid w:val="005267E5"/>
    <w:rsid w:val="00617DD5"/>
    <w:rsid w:val="006226E9"/>
    <w:rsid w:val="00684CAE"/>
    <w:rsid w:val="00716F9A"/>
    <w:rsid w:val="007904B8"/>
    <w:rsid w:val="007D5BCE"/>
    <w:rsid w:val="0086532C"/>
    <w:rsid w:val="008878D1"/>
    <w:rsid w:val="008B146B"/>
    <w:rsid w:val="008E60BD"/>
    <w:rsid w:val="00977FEB"/>
    <w:rsid w:val="00A13FAA"/>
    <w:rsid w:val="00AA36F0"/>
    <w:rsid w:val="00AD5DA6"/>
    <w:rsid w:val="00B64FEF"/>
    <w:rsid w:val="00B903D7"/>
    <w:rsid w:val="00D074CA"/>
    <w:rsid w:val="00E94796"/>
    <w:rsid w:val="00EF476F"/>
    <w:rsid w:val="00FE22B9"/>
    <w:rsid w:val="02AC5A72"/>
    <w:rsid w:val="030E0896"/>
    <w:rsid w:val="04351B1E"/>
    <w:rsid w:val="051D6CA6"/>
    <w:rsid w:val="06927621"/>
    <w:rsid w:val="097A4477"/>
    <w:rsid w:val="0C232FE8"/>
    <w:rsid w:val="0C4475EE"/>
    <w:rsid w:val="0D970709"/>
    <w:rsid w:val="0DB241E0"/>
    <w:rsid w:val="10277CAB"/>
    <w:rsid w:val="11651A69"/>
    <w:rsid w:val="16D74CB7"/>
    <w:rsid w:val="17163A31"/>
    <w:rsid w:val="18506ACF"/>
    <w:rsid w:val="1A2B77F4"/>
    <w:rsid w:val="1EDB183D"/>
    <w:rsid w:val="1EE84744"/>
    <w:rsid w:val="1FDC333E"/>
    <w:rsid w:val="21355D04"/>
    <w:rsid w:val="216E624F"/>
    <w:rsid w:val="220034DC"/>
    <w:rsid w:val="22573150"/>
    <w:rsid w:val="25733CF4"/>
    <w:rsid w:val="26195EA4"/>
    <w:rsid w:val="27E66B1F"/>
    <w:rsid w:val="289B1FE8"/>
    <w:rsid w:val="2DD24D42"/>
    <w:rsid w:val="2FCC1DDE"/>
    <w:rsid w:val="30C03BCD"/>
    <w:rsid w:val="32C41357"/>
    <w:rsid w:val="34607E7E"/>
    <w:rsid w:val="349C5C18"/>
    <w:rsid w:val="35D10FDA"/>
    <w:rsid w:val="376501BF"/>
    <w:rsid w:val="37757331"/>
    <w:rsid w:val="39581830"/>
    <w:rsid w:val="39C12F31"/>
    <w:rsid w:val="3DFD55B1"/>
    <w:rsid w:val="3E2A007D"/>
    <w:rsid w:val="3F595F3C"/>
    <w:rsid w:val="3F9A0FE5"/>
    <w:rsid w:val="43694900"/>
    <w:rsid w:val="43F65ECD"/>
    <w:rsid w:val="444255B6"/>
    <w:rsid w:val="44B531A5"/>
    <w:rsid w:val="44D25F7E"/>
    <w:rsid w:val="459A22C0"/>
    <w:rsid w:val="465E7A7F"/>
    <w:rsid w:val="46AF437E"/>
    <w:rsid w:val="46B1432D"/>
    <w:rsid w:val="47F40975"/>
    <w:rsid w:val="497F0713"/>
    <w:rsid w:val="4A7459B6"/>
    <w:rsid w:val="4B5272B0"/>
    <w:rsid w:val="4C6836E0"/>
    <w:rsid w:val="4C8C12EC"/>
    <w:rsid w:val="4F4E12B3"/>
    <w:rsid w:val="51AD660D"/>
    <w:rsid w:val="51C36A4A"/>
    <w:rsid w:val="52CB6DE5"/>
    <w:rsid w:val="54AA6B53"/>
    <w:rsid w:val="56284268"/>
    <w:rsid w:val="58C47EF0"/>
    <w:rsid w:val="598F38D1"/>
    <w:rsid w:val="5A1C2841"/>
    <w:rsid w:val="5A8C6946"/>
    <w:rsid w:val="5BBA55DA"/>
    <w:rsid w:val="5BC129B9"/>
    <w:rsid w:val="5BC5549E"/>
    <w:rsid w:val="5D814602"/>
    <w:rsid w:val="5E941DB9"/>
    <w:rsid w:val="60DD2497"/>
    <w:rsid w:val="63B55005"/>
    <w:rsid w:val="64634AC2"/>
    <w:rsid w:val="65414A5B"/>
    <w:rsid w:val="683A6742"/>
    <w:rsid w:val="68AD5110"/>
    <w:rsid w:val="6A285BB8"/>
    <w:rsid w:val="6B35615A"/>
    <w:rsid w:val="6FBB39A3"/>
    <w:rsid w:val="70C5552E"/>
    <w:rsid w:val="71301831"/>
    <w:rsid w:val="72114EE1"/>
    <w:rsid w:val="73234271"/>
    <w:rsid w:val="737A2A45"/>
    <w:rsid w:val="739015EB"/>
    <w:rsid w:val="75247192"/>
    <w:rsid w:val="75FD45BF"/>
    <w:rsid w:val="76992564"/>
    <w:rsid w:val="775546DD"/>
    <w:rsid w:val="78716822"/>
    <w:rsid w:val="7A307C38"/>
    <w:rsid w:val="7A890316"/>
    <w:rsid w:val="7B113011"/>
    <w:rsid w:val="7C9838F9"/>
    <w:rsid w:val="7D2A660C"/>
    <w:rsid w:val="7E3C2153"/>
    <w:rsid w:val="7E5E673B"/>
    <w:rsid w:val="7F01514B"/>
    <w:rsid w:val="7F8F6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29"/>
      <w:szCs w:val="29"/>
      <w:lang w:val="en-US" w:eastAsia="en-US" w:bidi="ar-SA"/>
    </w:r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8">
    <w:name w:val="Strong"/>
    <w:basedOn w:val="7"/>
    <w:qFormat/>
    <w:uiPriority w:val="22"/>
    <w:rPr>
      <w:b/>
      <w:bCs/>
    </w:rPr>
  </w:style>
  <w:style w:type="character" w:customStyle="1" w:styleId="9">
    <w:name w:val="页眉 字符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1829</Words>
  <Characters>1983</Characters>
  <Lines>4</Lines>
  <Paragraphs>1</Paragraphs>
  <TotalTime>2</TotalTime>
  <ScaleCrop>false</ScaleCrop>
  <LinksUpToDate>false</LinksUpToDate>
  <CharactersWithSpaces>2006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2023-05-30T08:49:00Z</dcterms:created>
  <dc:creator>x030281</dc:creator>
  <cp:lastModifiedBy>小森</cp:lastModifiedBy>
  <cp:lastPrinted>2026-07-13T07:21:16Z</cp:lastPrinted>
  <dcterms:modified xsi:type="dcterms:W3CDTF">2026-07-13T07:51:19Z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C1AF1B26D98E47A1A58909B1958BF8ED_13</vt:lpwstr>
  </property>
  <property fmtid="{D5CDD505-2E9C-101B-9397-08002B2CF9AE}" pid="4" name="KSOTemplateDocerSaveRecord">
    <vt:lpwstr>eyJoZGlkIjoiZjAwZmYyNmI3OTBmNDMwN2Q5MWE2NjNhNTZiYWEwZjYiLCJ1c2VySWQiOiIyNzA1NTg0MjQifQ==</vt:lpwstr>
  </property>
</Properties>
</file>